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77" w:rsidRDefault="00722577" w:rsidP="00722577">
      <w:pPr>
        <w:spacing w:after="120"/>
        <w:rPr>
          <w:bCs/>
          <w:sz w:val="24"/>
          <w:szCs w:val="24"/>
        </w:rPr>
      </w:pPr>
      <w:r w:rsidRPr="0067347E">
        <w:rPr>
          <w:bCs/>
          <w:sz w:val="24"/>
          <w:szCs w:val="24"/>
        </w:rPr>
        <w:t>Stand:</w:t>
      </w:r>
      <w:r w:rsidR="00B862F0">
        <w:rPr>
          <w:bCs/>
          <w:sz w:val="24"/>
          <w:szCs w:val="24"/>
        </w:rPr>
        <w:t xml:space="preserve"> 15.03.2021</w:t>
      </w:r>
    </w:p>
    <w:p w:rsidR="00722577" w:rsidRPr="00FF4A6E" w:rsidRDefault="00722577" w:rsidP="00722577">
      <w:pPr>
        <w:pStyle w:val="berschrift1"/>
        <w:ind w:right="1269"/>
        <w:jc w:val="both"/>
        <w:rPr>
          <w:rFonts w:ascii="Exo 2"/>
          <w:spacing w:val="-1"/>
          <w:lang w:val="de-DE"/>
        </w:rPr>
      </w:pPr>
      <w:r w:rsidRPr="00FF4A6E">
        <w:rPr>
          <w:rFonts w:ascii="Exo 2"/>
          <w:spacing w:val="-1"/>
          <w:lang w:val="de-DE"/>
        </w:rPr>
        <w:t>Diese Richtlinien dienen den Institutsbibliotheken als Vorgabe und Unterst</w:t>
      </w:r>
      <w:r w:rsidRPr="00FF4A6E">
        <w:rPr>
          <w:rFonts w:ascii="Exo 2"/>
          <w:spacing w:val="-1"/>
          <w:lang w:val="de-DE"/>
        </w:rPr>
        <w:t>ü</w:t>
      </w:r>
      <w:r w:rsidRPr="00FF4A6E">
        <w:rPr>
          <w:rFonts w:ascii="Exo 2"/>
          <w:spacing w:val="-1"/>
          <w:lang w:val="de-DE"/>
        </w:rPr>
        <w:t xml:space="preserve">tzung bei der Erstellung der Hygiene- und </w:t>
      </w:r>
      <w:proofErr w:type="gramStart"/>
      <w:r w:rsidRPr="00FF4A6E">
        <w:rPr>
          <w:rFonts w:ascii="Exo 2"/>
          <w:spacing w:val="-1"/>
          <w:lang w:val="de-DE"/>
        </w:rPr>
        <w:t xml:space="preserve">Schutzkonzepte </w:t>
      </w:r>
      <w:r w:rsidR="00B862F0">
        <w:rPr>
          <w:rFonts w:ascii="Exo 2"/>
          <w:spacing w:val="-1"/>
          <w:lang w:val="de-DE"/>
        </w:rPr>
        <w:t>.</w:t>
      </w:r>
      <w:proofErr w:type="gramEnd"/>
    </w:p>
    <w:p w:rsidR="00722577" w:rsidRPr="00F663DB" w:rsidRDefault="00722577" w:rsidP="00722577">
      <w:pPr>
        <w:spacing w:after="120"/>
        <w:rPr>
          <w:bCs/>
          <w:color w:val="FF0000"/>
          <w:sz w:val="24"/>
          <w:szCs w:val="24"/>
        </w:rPr>
      </w:pPr>
    </w:p>
    <w:p w:rsidR="00722577" w:rsidRPr="0067347E" w:rsidRDefault="00722577" w:rsidP="00722577">
      <w:pPr>
        <w:pStyle w:val="berschrift1"/>
        <w:ind w:left="0"/>
        <w:rPr>
          <w:rFonts w:ascii="Exo 2"/>
          <w:color w:val="4F81BD"/>
          <w:spacing w:val="-1"/>
          <w:lang w:val="de-DE"/>
        </w:rPr>
      </w:pPr>
      <w:r w:rsidRPr="0067347E">
        <w:rPr>
          <w:rFonts w:ascii="Exo 2"/>
          <w:color w:val="4F81BD"/>
          <w:spacing w:val="-1"/>
          <w:lang w:val="de-DE"/>
        </w:rPr>
        <w:t>Grundlagen:</w:t>
      </w:r>
    </w:p>
    <w:p w:rsidR="00722577" w:rsidRPr="0067347E" w:rsidRDefault="00B862F0" w:rsidP="00722577">
      <w:pPr>
        <w:pStyle w:val="Listenabsatz"/>
        <w:numPr>
          <w:ilvl w:val="0"/>
          <w:numId w:val="5"/>
        </w:numPr>
        <w:ind w:left="567" w:right="126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Jeweils </w:t>
      </w:r>
      <w:r w:rsidR="00722577" w:rsidRPr="0067347E">
        <w:rPr>
          <w:sz w:val="24"/>
          <w:szCs w:val="24"/>
        </w:rPr>
        <w:t xml:space="preserve">aktuelle Corona-Verordnung des Landes NRW </w:t>
      </w:r>
    </w:p>
    <w:p w:rsidR="00722577" w:rsidRDefault="00B862F0" w:rsidP="00722577">
      <w:pPr>
        <w:pStyle w:val="Listenabsatz"/>
        <w:numPr>
          <w:ilvl w:val="0"/>
          <w:numId w:val="5"/>
        </w:numPr>
        <w:ind w:left="567" w:right="126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Jeweils aktuelle </w:t>
      </w:r>
      <w:r w:rsidR="00722577" w:rsidRPr="0067347E">
        <w:rPr>
          <w:sz w:val="24"/>
          <w:szCs w:val="24"/>
        </w:rPr>
        <w:t>Allgemeinverfügung des MAGS zur „Durchführung von Lehr- und Praxisveranstaltungen sowie Prüfungen an den Hochschulen im Land Nordrhein Westfalen“</w:t>
      </w:r>
      <w:r w:rsidR="00722577">
        <w:rPr>
          <w:sz w:val="24"/>
          <w:szCs w:val="24"/>
        </w:rPr>
        <w:t xml:space="preserve"> </w:t>
      </w:r>
    </w:p>
    <w:p w:rsidR="00B862F0" w:rsidRDefault="00B862F0" w:rsidP="00722577">
      <w:pPr>
        <w:pStyle w:val="Listenabsatz"/>
        <w:numPr>
          <w:ilvl w:val="0"/>
          <w:numId w:val="5"/>
        </w:numPr>
        <w:ind w:left="567" w:right="1269" w:hanging="283"/>
        <w:jc w:val="both"/>
        <w:rPr>
          <w:sz w:val="24"/>
          <w:szCs w:val="24"/>
        </w:rPr>
      </w:pPr>
      <w:r>
        <w:rPr>
          <w:sz w:val="24"/>
          <w:szCs w:val="24"/>
        </w:rPr>
        <w:t>Jeweils aktuelle Allgemeinverfügung der Stadt Bonn.</w:t>
      </w:r>
    </w:p>
    <w:p w:rsidR="000F2E7B" w:rsidRPr="000F2E7B" w:rsidRDefault="00B862F0" w:rsidP="000F2E7B">
      <w:pPr>
        <w:pStyle w:val="Listenabsatz"/>
        <w:numPr>
          <w:ilvl w:val="0"/>
          <w:numId w:val="5"/>
        </w:numPr>
        <w:ind w:left="567" w:right="126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Jeweils aktueller </w:t>
      </w:r>
      <w:r w:rsidR="000F2E7B" w:rsidRPr="0067347E">
        <w:rPr>
          <w:sz w:val="24"/>
          <w:szCs w:val="24"/>
        </w:rPr>
        <w:t xml:space="preserve">SARS-CoV-2-Arbeitsschutzstandard des Bundesministeriums für Arbeit </w:t>
      </w:r>
      <w:r>
        <w:rPr>
          <w:sz w:val="24"/>
          <w:szCs w:val="24"/>
        </w:rPr>
        <w:t>und Soziales</w:t>
      </w:r>
      <w:r w:rsidR="000F2E7B">
        <w:rPr>
          <w:sz w:val="24"/>
          <w:szCs w:val="24"/>
        </w:rPr>
        <w:tab/>
      </w:r>
    </w:p>
    <w:p w:rsidR="00717DCA" w:rsidRDefault="00722577" w:rsidP="00717DCA">
      <w:pPr>
        <w:pStyle w:val="Listenabsatz"/>
        <w:numPr>
          <w:ilvl w:val="0"/>
          <w:numId w:val="5"/>
        </w:numPr>
        <w:ind w:left="567" w:right="1269" w:hanging="283"/>
        <w:jc w:val="both"/>
        <w:rPr>
          <w:sz w:val="24"/>
          <w:szCs w:val="24"/>
        </w:rPr>
      </w:pPr>
      <w:r w:rsidRPr="0067347E">
        <w:rPr>
          <w:sz w:val="24"/>
          <w:szCs w:val="24"/>
        </w:rPr>
        <w:t xml:space="preserve">Richtlinien der Universität </w:t>
      </w:r>
    </w:p>
    <w:p w:rsidR="00717DCA" w:rsidRDefault="00717DCA" w:rsidP="00717DCA">
      <w:pPr>
        <w:pStyle w:val="Listenabsatz"/>
        <w:ind w:left="567" w:right="1269"/>
        <w:jc w:val="both"/>
        <w:rPr>
          <w:sz w:val="24"/>
          <w:szCs w:val="24"/>
        </w:rPr>
      </w:pPr>
    </w:p>
    <w:p w:rsidR="00717DCA" w:rsidRDefault="00717DCA" w:rsidP="007632B7">
      <w:pPr>
        <w:pStyle w:val="Listenabsatz"/>
        <w:ind w:left="284" w:right="1269"/>
        <w:jc w:val="both"/>
        <w:rPr>
          <w:color w:val="auto"/>
          <w:sz w:val="24"/>
          <w:szCs w:val="24"/>
        </w:rPr>
      </w:pPr>
      <w:r w:rsidRPr="00FF4A6E">
        <w:rPr>
          <w:color w:val="auto"/>
          <w:sz w:val="24"/>
          <w:szCs w:val="24"/>
        </w:rPr>
        <w:t xml:space="preserve">Basis für die Erstellung der Hygiene- und Schutzkonzepte ist die Durchführung einer auf den Infektionsschutz bezogenen Gefährdungsbeurteilung (Link auf die Homepage zur GBU). Hieraus sind unter Berücksichtigung der </w:t>
      </w:r>
      <w:r w:rsidR="00BA309A" w:rsidRPr="00FF4A6E">
        <w:rPr>
          <w:color w:val="auto"/>
          <w:sz w:val="24"/>
          <w:szCs w:val="24"/>
        </w:rPr>
        <w:t xml:space="preserve">nachstehenden Richtlinien </w:t>
      </w:r>
      <w:r w:rsidRPr="00FF4A6E">
        <w:rPr>
          <w:color w:val="auto"/>
          <w:sz w:val="24"/>
          <w:szCs w:val="24"/>
        </w:rPr>
        <w:t>Hygiene- und Schutzkonzepte abzuleiten</w:t>
      </w:r>
      <w:r w:rsidR="00BA309A" w:rsidRPr="00FF4A6E">
        <w:rPr>
          <w:color w:val="auto"/>
          <w:sz w:val="24"/>
          <w:szCs w:val="24"/>
        </w:rPr>
        <w:t xml:space="preserve">. </w:t>
      </w:r>
    </w:p>
    <w:p w:rsidR="007632B7" w:rsidRPr="00FF4A6E" w:rsidRDefault="007632B7" w:rsidP="00717DCA">
      <w:pPr>
        <w:pStyle w:val="Listenabsatz"/>
        <w:ind w:left="567" w:right="1269"/>
        <w:jc w:val="both"/>
        <w:rPr>
          <w:color w:val="auto"/>
          <w:sz w:val="24"/>
          <w:szCs w:val="24"/>
        </w:rPr>
      </w:pPr>
    </w:p>
    <w:p w:rsidR="00E151C2" w:rsidRDefault="007632B7" w:rsidP="007632B7">
      <w:pPr>
        <w:pStyle w:val="berschrift1"/>
        <w:ind w:right="1269"/>
        <w:jc w:val="both"/>
        <w:rPr>
          <w:rFonts w:ascii="Exo 2"/>
          <w:color w:val="4F81BD"/>
          <w:spacing w:val="-1"/>
          <w:lang w:val="de-DE"/>
        </w:rPr>
      </w:pPr>
      <w:r w:rsidRPr="007632B7">
        <w:rPr>
          <w:rFonts w:ascii="Exo 2"/>
          <w:color w:val="4F81BD"/>
          <w:spacing w:val="-1"/>
          <w:lang w:val="de-DE"/>
        </w:rPr>
        <w:t>Ö</w:t>
      </w:r>
      <w:r w:rsidRPr="007632B7">
        <w:rPr>
          <w:rFonts w:ascii="Exo 2"/>
          <w:color w:val="4F81BD"/>
          <w:spacing w:val="-1"/>
          <w:lang w:val="de-DE"/>
        </w:rPr>
        <w:t>ffnungsstrategie:</w:t>
      </w:r>
    </w:p>
    <w:p w:rsidR="007632B7" w:rsidRDefault="007632B7" w:rsidP="007632B7">
      <w:pPr>
        <w:pStyle w:val="berschrift1"/>
        <w:ind w:right="1269"/>
        <w:jc w:val="both"/>
        <w:rPr>
          <w:rFonts w:ascii="Exo 2"/>
          <w:color w:val="4F81BD"/>
          <w:spacing w:val="-1"/>
          <w:lang w:val="de-DE"/>
        </w:rPr>
      </w:pPr>
    </w:p>
    <w:p w:rsidR="007632B7" w:rsidRPr="007632B7" w:rsidRDefault="007632B7" w:rsidP="007632B7">
      <w:pPr>
        <w:pStyle w:val="Listenabsatz"/>
        <w:spacing w:after="0"/>
        <w:ind w:left="284" w:right="1269"/>
        <w:jc w:val="both"/>
        <w:rPr>
          <w:color w:val="auto"/>
          <w:sz w:val="24"/>
          <w:szCs w:val="24"/>
        </w:rPr>
      </w:pPr>
      <w:r w:rsidRPr="007632B7">
        <w:rPr>
          <w:color w:val="auto"/>
          <w:sz w:val="24"/>
          <w:szCs w:val="24"/>
        </w:rPr>
        <w:t>Der</w:t>
      </w:r>
      <w:r>
        <w:rPr>
          <w:color w:val="auto"/>
          <w:sz w:val="24"/>
          <w:szCs w:val="24"/>
        </w:rPr>
        <w:t xml:space="preserve"> Spielraum der </w:t>
      </w:r>
      <w:proofErr w:type="spellStart"/>
      <w:r>
        <w:rPr>
          <w:color w:val="auto"/>
          <w:sz w:val="24"/>
          <w:szCs w:val="24"/>
        </w:rPr>
        <w:t>CoronaSchVO</w:t>
      </w:r>
      <w:proofErr w:type="spellEnd"/>
      <w:r>
        <w:rPr>
          <w:color w:val="auto"/>
          <w:sz w:val="24"/>
          <w:szCs w:val="24"/>
        </w:rPr>
        <w:t xml:space="preserve"> soll</w:t>
      </w:r>
      <w:r w:rsidRPr="007632B7">
        <w:rPr>
          <w:color w:val="auto"/>
          <w:sz w:val="24"/>
          <w:szCs w:val="24"/>
        </w:rPr>
        <w:t xml:space="preserve"> in vorsichtigen Schritten ausgenutzt werden. Es liegt ein unterschiedliches Stimmungsbild aus den Bibliotheken zu den möglichen Öffnungen vor.</w:t>
      </w:r>
    </w:p>
    <w:p w:rsidR="007632B7" w:rsidRPr="007632B7" w:rsidRDefault="007632B7" w:rsidP="007632B7">
      <w:pPr>
        <w:pStyle w:val="Listenabsatz"/>
        <w:spacing w:after="0"/>
        <w:ind w:left="284" w:right="1269"/>
        <w:jc w:val="both"/>
        <w:rPr>
          <w:color w:val="auto"/>
          <w:sz w:val="24"/>
          <w:szCs w:val="24"/>
        </w:rPr>
      </w:pPr>
      <w:r w:rsidRPr="007632B7">
        <w:rPr>
          <w:color w:val="auto"/>
          <w:sz w:val="24"/>
          <w:szCs w:val="24"/>
        </w:rPr>
        <w:t xml:space="preserve">Erster Schritt ist die Öffnung des </w:t>
      </w:r>
      <w:r w:rsidRPr="00B7615D">
        <w:rPr>
          <w:b/>
          <w:color w:val="auto"/>
          <w:sz w:val="24"/>
          <w:szCs w:val="24"/>
        </w:rPr>
        <w:t>Handmagazins mit Körbe-System</w:t>
      </w:r>
      <w:r w:rsidR="00342090">
        <w:rPr>
          <w:color w:val="auto"/>
          <w:sz w:val="24"/>
          <w:szCs w:val="24"/>
        </w:rPr>
        <w:t xml:space="preserve"> in </w:t>
      </w:r>
      <w:r w:rsidR="00342090" w:rsidRPr="00B7615D">
        <w:rPr>
          <w:b/>
          <w:color w:val="auto"/>
          <w:sz w:val="24"/>
          <w:szCs w:val="24"/>
        </w:rPr>
        <w:t>KW 11</w:t>
      </w:r>
      <w:r w:rsidRPr="007632B7">
        <w:rPr>
          <w:color w:val="auto"/>
          <w:sz w:val="24"/>
          <w:szCs w:val="24"/>
        </w:rPr>
        <w:t xml:space="preserve">. </w:t>
      </w:r>
      <w:r w:rsidR="00342090">
        <w:rPr>
          <w:color w:val="auto"/>
          <w:sz w:val="24"/>
          <w:szCs w:val="24"/>
        </w:rPr>
        <w:t xml:space="preserve">Ab dem </w:t>
      </w:r>
      <w:r w:rsidR="00342090" w:rsidRPr="00B7615D">
        <w:rPr>
          <w:b/>
          <w:color w:val="auto"/>
          <w:sz w:val="24"/>
          <w:szCs w:val="24"/>
        </w:rPr>
        <w:t>22.03.21</w:t>
      </w:r>
      <w:r w:rsidR="00342090">
        <w:rPr>
          <w:color w:val="auto"/>
          <w:sz w:val="24"/>
          <w:szCs w:val="24"/>
        </w:rPr>
        <w:t xml:space="preserve"> kann n</w:t>
      </w:r>
      <w:r w:rsidRPr="007632B7">
        <w:rPr>
          <w:color w:val="auto"/>
          <w:sz w:val="24"/>
          <w:szCs w:val="24"/>
        </w:rPr>
        <w:t>ach und nach auch</w:t>
      </w:r>
      <w:r w:rsidR="00342090">
        <w:rPr>
          <w:color w:val="auto"/>
          <w:sz w:val="24"/>
          <w:szCs w:val="24"/>
        </w:rPr>
        <w:t xml:space="preserve"> die</w:t>
      </w:r>
      <w:r w:rsidRPr="007632B7">
        <w:rPr>
          <w:color w:val="auto"/>
          <w:sz w:val="24"/>
          <w:szCs w:val="24"/>
        </w:rPr>
        <w:t xml:space="preserve"> Öffnung eines Teils der Plätze in den </w:t>
      </w:r>
      <w:r w:rsidRPr="00B7615D">
        <w:rPr>
          <w:b/>
          <w:color w:val="auto"/>
          <w:sz w:val="24"/>
          <w:szCs w:val="24"/>
        </w:rPr>
        <w:t>Lesesälen</w:t>
      </w:r>
      <w:r w:rsidR="00342090">
        <w:rPr>
          <w:color w:val="auto"/>
          <w:sz w:val="24"/>
          <w:szCs w:val="24"/>
        </w:rPr>
        <w:t xml:space="preserve"> er</w:t>
      </w:r>
      <w:r w:rsidRPr="007632B7">
        <w:rPr>
          <w:color w:val="auto"/>
          <w:sz w:val="24"/>
          <w:szCs w:val="24"/>
        </w:rPr>
        <w:t>folgen.</w:t>
      </w:r>
    </w:p>
    <w:p w:rsidR="007632B7" w:rsidRPr="007632B7" w:rsidRDefault="007632B7" w:rsidP="007632B7">
      <w:pPr>
        <w:pStyle w:val="Listenabsatz"/>
        <w:ind w:left="284" w:right="1269"/>
        <w:jc w:val="both"/>
        <w:rPr>
          <w:color w:val="auto"/>
          <w:sz w:val="24"/>
          <w:szCs w:val="24"/>
        </w:rPr>
      </w:pPr>
      <w:r w:rsidRPr="007632B7">
        <w:rPr>
          <w:color w:val="auto"/>
          <w:sz w:val="24"/>
          <w:szCs w:val="24"/>
        </w:rPr>
        <w:t>ULB und Stab AU treten mit den Institutsbibliotheken in Kontakt, um die schrittweise Öffnung zu koordinieren und zu begleiten.</w:t>
      </w:r>
    </w:p>
    <w:p w:rsidR="007632B7" w:rsidRDefault="007632B7" w:rsidP="007632B7">
      <w:pPr>
        <w:pStyle w:val="berschrift1"/>
        <w:ind w:right="1269"/>
        <w:jc w:val="both"/>
        <w:rPr>
          <w:rFonts w:ascii="Exo 2"/>
          <w:color w:val="4F81BD"/>
          <w:spacing w:val="-1"/>
          <w:lang w:val="de-DE"/>
        </w:rPr>
      </w:pPr>
    </w:p>
    <w:p w:rsidR="007632B7" w:rsidRPr="007632B7" w:rsidRDefault="007632B7" w:rsidP="007632B7">
      <w:pPr>
        <w:pStyle w:val="berschrift1"/>
        <w:ind w:right="1269"/>
        <w:jc w:val="both"/>
        <w:rPr>
          <w:rFonts w:ascii="Exo 2"/>
          <w:color w:val="4F81BD"/>
          <w:spacing w:val="-1"/>
          <w:lang w:val="de-DE"/>
        </w:rPr>
      </w:pPr>
    </w:p>
    <w:p w:rsidR="00E151C2" w:rsidRDefault="00F71D62" w:rsidP="003645AB">
      <w:pPr>
        <w:pStyle w:val="berschrift1"/>
        <w:ind w:right="1269"/>
        <w:jc w:val="both"/>
        <w:rPr>
          <w:rFonts w:ascii="Exo 2"/>
          <w:color w:val="4F81BD"/>
          <w:spacing w:val="-1"/>
          <w:lang w:val="de-DE"/>
        </w:rPr>
      </w:pPr>
      <w:r w:rsidRPr="0067347E">
        <w:rPr>
          <w:rFonts w:ascii="Exo 2"/>
          <w:color w:val="4F81BD"/>
          <w:spacing w:val="-1"/>
          <w:lang w:val="de-DE"/>
        </w:rPr>
        <w:t>Richtlinien:</w:t>
      </w:r>
    </w:p>
    <w:p w:rsidR="00722577" w:rsidRPr="0067347E" w:rsidRDefault="00722577" w:rsidP="003645AB">
      <w:pPr>
        <w:pStyle w:val="berschrift1"/>
        <w:ind w:right="1269"/>
        <w:jc w:val="both"/>
        <w:rPr>
          <w:rFonts w:ascii="Exo 2"/>
          <w:color w:val="4F81BD"/>
          <w:spacing w:val="-1"/>
          <w:lang w:val="de-DE"/>
        </w:rPr>
      </w:pPr>
    </w:p>
    <w:p w:rsidR="00E151C2" w:rsidRPr="00FF4A6E" w:rsidRDefault="00F71D62" w:rsidP="00555C8B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color w:val="auto"/>
          <w:sz w:val="24"/>
          <w:szCs w:val="24"/>
        </w:rPr>
      </w:pPr>
      <w:r w:rsidRPr="00FF4A6E">
        <w:rPr>
          <w:color w:val="auto"/>
          <w:sz w:val="24"/>
          <w:szCs w:val="24"/>
        </w:rPr>
        <w:t>Mit Aushängen möglichst vor und in der Bibliothek wird darauf hingewiesen, dass die an</w:t>
      </w:r>
      <w:r w:rsidR="00B862F0">
        <w:rPr>
          <w:color w:val="auto"/>
          <w:sz w:val="24"/>
          <w:szCs w:val="24"/>
        </w:rPr>
        <w:t xml:space="preserve"> der Universität</w:t>
      </w:r>
      <w:r w:rsidRPr="00FF4A6E">
        <w:rPr>
          <w:color w:val="auto"/>
          <w:sz w:val="24"/>
          <w:szCs w:val="24"/>
        </w:rPr>
        <w:t xml:space="preserve"> kommunizierten Hygieneregeln (</w:t>
      </w:r>
      <w:r w:rsidR="00B862F0">
        <w:rPr>
          <w:color w:val="auto"/>
          <w:sz w:val="24"/>
          <w:szCs w:val="24"/>
        </w:rPr>
        <w:t xml:space="preserve">Tragen der </w:t>
      </w:r>
      <w:r w:rsidR="006C0C21">
        <w:rPr>
          <w:color w:val="auto"/>
          <w:sz w:val="24"/>
          <w:szCs w:val="24"/>
        </w:rPr>
        <w:t xml:space="preserve">medizinischen </w:t>
      </w:r>
      <w:r w:rsidR="00B862F0">
        <w:rPr>
          <w:color w:val="auto"/>
          <w:sz w:val="24"/>
          <w:szCs w:val="24"/>
        </w:rPr>
        <w:t>Maske</w:t>
      </w:r>
      <w:r w:rsidR="006C0C21">
        <w:rPr>
          <w:color w:val="auto"/>
          <w:sz w:val="24"/>
          <w:szCs w:val="24"/>
        </w:rPr>
        <w:t xml:space="preserve"> (O</w:t>
      </w:r>
      <w:r w:rsidR="00602573">
        <w:rPr>
          <w:color w:val="auto"/>
          <w:sz w:val="24"/>
          <w:szCs w:val="24"/>
        </w:rPr>
        <w:t>P-Maske oder FFP</w:t>
      </w:r>
      <w:r w:rsidR="006C0C21">
        <w:rPr>
          <w:color w:val="auto"/>
          <w:sz w:val="24"/>
          <w:szCs w:val="24"/>
        </w:rPr>
        <w:t>2 Maske oder gleichwertig)</w:t>
      </w:r>
      <w:r w:rsidR="00B862F0">
        <w:rPr>
          <w:color w:val="auto"/>
          <w:sz w:val="24"/>
          <w:szCs w:val="24"/>
        </w:rPr>
        <w:t xml:space="preserve">, </w:t>
      </w:r>
      <w:r w:rsidRPr="00FF4A6E">
        <w:rPr>
          <w:color w:val="auto"/>
          <w:sz w:val="24"/>
          <w:szCs w:val="24"/>
        </w:rPr>
        <w:t xml:space="preserve">sorgfältiges Waschen und Abtrocknen der Hände (möglichst direkt vor und </w:t>
      </w:r>
      <w:r w:rsidRPr="00FF4A6E">
        <w:rPr>
          <w:color w:val="auto"/>
          <w:sz w:val="24"/>
          <w:szCs w:val="24"/>
        </w:rPr>
        <w:lastRenderedPageBreak/>
        <w:t>nach jedem Bibliotheksbesuch), „Husten- und Nie</w:t>
      </w:r>
      <w:r w:rsidR="00E9170F">
        <w:rPr>
          <w:color w:val="auto"/>
          <w:sz w:val="24"/>
          <w:szCs w:val="24"/>
        </w:rPr>
        <w:t>s</w:t>
      </w:r>
      <w:r w:rsidRPr="00FF4A6E">
        <w:rPr>
          <w:color w:val="auto"/>
          <w:sz w:val="24"/>
          <w:szCs w:val="24"/>
        </w:rPr>
        <w:t xml:space="preserve">etikette“, Verzicht auf Begrüßung per Handschlag) weiterhin konsequent </w:t>
      </w:r>
      <w:r w:rsidR="007C7228" w:rsidRPr="00FF4A6E">
        <w:rPr>
          <w:color w:val="auto"/>
          <w:sz w:val="24"/>
          <w:szCs w:val="24"/>
        </w:rPr>
        <w:t xml:space="preserve">einzuhalten sind. </w:t>
      </w:r>
    </w:p>
    <w:p w:rsidR="00570C93" w:rsidRPr="0067347E" w:rsidRDefault="00570C93" w:rsidP="00555C8B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Auf die wichtigsten Verhaltensregeln wird am Eingang und nach Möglichkeit an zentralen Stellen per Plakat / Aushang hingewiesen. </w:t>
      </w:r>
    </w:p>
    <w:p w:rsidR="00E151C2" w:rsidRPr="0067347E" w:rsidRDefault="00F71D62" w:rsidP="00555C8B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sz w:val="24"/>
          <w:szCs w:val="24"/>
        </w:rPr>
      </w:pPr>
      <w:r w:rsidRPr="0067347E">
        <w:rPr>
          <w:sz w:val="24"/>
          <w:szCs w:val="24"/>
        </w:rPr>
        <w:t xml:space="preserve">In den </w:t>
      </w:r>
      <w:r w:rsidRPr="00FF4A6E">
        <w:rPr>
          <w:color w:val="auto"/>
          <w:sz w:val="24"/>
          <w:szCs w:val="24"/>
        </w:rPr>
        <w:t xml:space="preserve">Zugängen zu den Bibliotheken </w:t>
      </w:r>
      <w:r w:rsidR="00BA309A" w:rsidRPr="00FF4A6E">
        <w:rPr>
          <w:color w:val="auto"/>
          <w:sz w:val="24"/>
          <w:szCs w:val="24"/>
        </w:rPr>
        <w:t xml:space="preserve">werden </w:t>
      </w:r>
      <w:r w:rsidRPr="00FF4A6E">
        <w:rPr>
          <w:color w:val="auto"/>
          <w:sz w:val="24"/>
          <w:szCs w:val="24"/>
        </w:rPr>
        <w:t xml:space="preserve">Desinfektionsstationen </w:t>
      </w:r>
      <w:r w:rsidRPr="0067347E">
        <w:rPr>
          <w:sz w:val="24"/>
          <w:szCs w:val="24"/>
        </w:rPr>
        <w:t>aufgestellt und regelmäßig neu bestückt</w:t>
      </w:r>
      <w:r w:rsidR="00BA309A">
        <w:rPr>
          <w:sz w:val="24"/>
          <w:szCs w:val="24"/>
        </w:rPr>
        <w:t>.</w:t>
      </w:r>
      <w:r w:rsidRPr="0067347E">
        <w:rPr>
          <w:sz w:val="24"/>
          <w:szCs w:val="24"/>
        </w:rPr>
        <w:t xml:space="preserve"> </w:t>
      </w:r>
    </w:p>
    <w:p w:rsidR="00E151C2" w:rsidRDefault="00F71D62" w:rsidP="00555C8B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color w:val="auto"/>
          <w:sz w:val="24"/>
          <w:szCs w:val="24"/>
        </w:rPr>
      </w:pPr>
      <w:r w:rsidRPr="00FF4A6E">
        <w:rPr>
          <w:color w:val="auto"/>
          <w:sz w:val="24"/>
          <w:szCs w:val="24"/>
        </w:rPr>
        <w:t xml:space="preserve">Das </w:t>
      </w:r>
      <w:r w:rsidR="00602573">
        <w:rPr>
          <w:color w:val="auto"/>
          <w:sz w:val="24"/>
          <w:szCs w:val="24"/>
        </w:rPr>
        <w:t xml:space="preserve">dauerhafte </w:t>
      </w:r>
      <w:r w:rsidRPr="00FF4A6E">
        <w:rPr>
          <w:color w:val="auto"/>
          <w:sz w:val="24"/>
          <w:szCs w:val="24"/>
        </w:rPr>
        <w:t>Tr</w:t>
      </w:r>
      <w:r w:rsidR="00B862F0">
        <w:rPr>
          <w:color w:val="auto"/>
          <w:sz w:val="24"/>
          <w:szCs w:val="24"/>
        </w:rPr>
        <w:t>agen einer medizinischen Maske (</w:t>
      </w:r>
      <w:r w:rsidR="006C0C21">
        <w:rPr>
          <w:color w:val="auto"/>
          <w:sz w:val="24"/>
          <w:szCs w:val="24"/>
        </w:rPr>
        <w:t>OP-Maske oder FFP 2 Maske oder geleichwertig)</w:t>
      </w:r>
      <w:r w:rsidR="00602573">
        <w:rPr>
          <w:color w:val="auto"/>
          <w:sz w:val="24"/>
          <w:szCs w:val="24"/>
        </w:rPr>
        <w:t xml:space="preserve"> während des gesamten Besuchs ist obligatorisch</w:t>
      </w:r>
      <w:r w:rsidR="007C7228" w:rsidRPr="00FF4A6E">
        <w:rPr>
          <w:color w:val="auto"/>
          <w:sz w:val="24"/>
          <w:szCs w:val="24"/>
        </w:rPr>
        <w:t xml:space="preserve">. </w:t>
      </w:r>
      <w:r w:rsidR="006C0C21">
        <w:rPr>
          <w:color w:val="auto"/>
          <w:sz w:val="24"/>
          <w:szCs w:val="24"/>
        </w:rPr>
        <w:t>Die medizinische Maske</w:t>
      </w:r>
      <w:r w:rsidRPr="00FF4A6E">
        <w:rPr>
          <w:color w:val="auto"/>
          <w:sz w:val="24"/>
          <w:szCs w:val="24"/>
        </w:rPr>
        <w:t xml:space="preserve"> kann</w:t>
      </w:r>
      <w:r w:rsidR="00786432" w:rsidRPr="00FF4A6E">
        <w:rPr>
          <w:color w:val="auto"/>
          <w:sz w:val="24"/>
          <w:szCs w:val="24"/>
        </w:rPr>
        <w:t>,</w:t>
      </w:r>
      <w:r w:rsidRPr="00FF4A6E">
        <w:rPr>
          <w:color w:val="auto"/>
          <w:sz w:val="24"/>
          <w:szCs w:val="24"/>
        </w:rPr>
        <w:t xml:space="preserve"> </w:t>
      </w:r>
      <w:r w:rsidR="0067347E" w:rsidRPr="00FF4A6E">
        <w:rPr>
          <w:color w:val="auto"/>
          <w:sz w:val="24"/>
          <w:szCs w:val="24"/>
        </w:rPr>
        <w:t>wenn sich eine Person im Raum alleine befindet</w:t>
      </w:r>
      <w:r w:rsidR="00786432" w:rsidRPr="00FF4A6E">
        <w:rPr>
          <w:color w:val="auto"/>
          <w:sz w:val="24"/>
          <w:szCs w:val="24"/>
        </w:rPr>
        <w:t>,</w:t>
      </w:r>
      <w:r w:rsidRPr="00FF4A6E">
        <w:rPr>
          <w:color w:val="auto"/>
          <w:sz w:val="24"/>
          <w:szCs w:val="24"/>
        </w:rPr>
        <w:t xml:space="preserve"> abgelegt werden.</w:t>
      </w:r>
    </w:p>
    <w:p w:rsidR="00602573" w:rsidRPr="00FF4A6E" w:rsidRDefault="00602573" w:rsidP="00555C8B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Pr="00FF4A6E">
        <w:rPr>
          <w:color w:val="auto"/>
          <w:sz w:val="24"/>
          <w:szCs w:val="24"/>
        </w:rPr>
        <w:t>ie Nutzung eines eigenen Stiftes wird empfohlen.</w:t>
      </w:r>
    </w:p>
    <w:p w:rsidR="0067347E" w:rsidRPr="00FF4A6E" w:rsidRDefault="006C0C21" w:rsidP="00555C8B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Das Tragen der medizinischen Maske (OP-Maske oder FFP 2 Maske oder geleichwertig)</w:t>
      </w:r>
      <w:r w:rsidR="0067347E" w:rsidRPr="00FF4A6E">
        <w:rPr>
          <w:color w:val="auto"/>
          <w:sz w:val="24"/>
          <w:szCs w:val="24"/>
        </w:rPr>
        <w:t xml:space="preserve"> ersetzt nicht die Schutzmaßnahmen wie Handhygiene und Abstandsregeln.</w:t>
      </w:r>
    </w:p>
    <w:p w:rsidR="00E151C2" w:rsidRPr="00FF4A6E" w:rsidRDefault="00F71D62" w:rsidP="006C0C21">
      <w:pPr>
        <w:pStyle w:val="Listenabsatz"/>
        <w:numPr>
          <w:ilvl w:val="0"/>
          <w:numId w:val="6"/>
        </w:numPr>
        <w:spacing w:after="120"/>
        <w:ind w:left="567" w:right="1269" w:firstLine="0"/>
        <w:jc w:val="both"/>
        <w:rPr>
          <w:color w:val="auto"/>
          <w:sz w:val="24"/>
          <w:szCs w:val="24"/>
        </w:rPr>
      </w:pPr>
      <w:r w:rsidRPr="00FF4A6E">
        <w:rPr>
          <w:color w:val="auto"/>
          <w:sz w:val="24"/>
          <w:szCs w:val="24"/>
        </w:rPr>
        <w:t xml:space="preserve">Darüber hinaus wird durch Aushänge darauf hingewiesen, dass sich Personen in den Bibliotheksräumen auf nicht mehr als </w:t>
      </w:r>
      <w:r w:rsidR="00DC3595" w:rsidRPr="00FF4A6E">
        <w:rPr>
          <w:color w:val="auto"/>
          <w:sz w:val="24"/>
          <w:szCs w:val="24"/>
        </w:rPr>
        <w:t>1,5</w:t>
      </w:r>
      <w:r w:rsidRPr="00FF4A6E">
        <w:rPr>
          <w:color w:val="auto"/>
          <w:sz w:val="24"/>
          <w:szCs w:val="24"/>
        </w:rPr>
        <w:t xml:space="preserve"> Meter Abstand nähern dürfen. An Engpässen können „Flatterbänder“ oder Abstandsmarkierungen zusätzlich hilfreich sein.</w:t>
      </w:r>
      <w:r w:rsidR="00DF1465" w:rsidRPr="00FF4A6E">
        <w:rPr>
          <w:color w:val="auto"/>
          <w:sz w:val="24"/>
          <w:szCs w:val="24"/>
        </w:rPr>
        <w:t xml:space="preserve"> Arbeits- und Leseplätze müssen mind. </w:t>
      </w:r>
      <w:r w:rsidR="00786432" w:rsidRPr="00FF4A6E">
        <w:rPr>
          <w:color w:val="auto"/>
          <w:sz w:val="24"/>
          <w:szCs w:val="24"/>
        </w:rPr>
        <w:t xml:space="preserve">1,5 </w:t>
      </w:r>
      <w:r w:rsidR="00DF1465" w:rsidRPr="00FF4A6E">
        <w:rPr>
          <w:color w:val="auto"/>
          <w:sz w:val="24"/>
          <w:szCs w:val="24"/>
        </w:rPr>
        <w:t xml:space="preserve">Meter Abstand </w:t>
      </w:r>
      <w:r w:rsidR="00C611A3" w:rsidRPr="00FF4A6E">
        <w:rPr>
          <w:color w:val="auto"/>
          <w:sz w:val="24"/>
          <w:szCs w:val="24"/>
        </w:rPr>
        <w:t>voneinander</w:t>
      </w:r>
      <w:r w:rsidR="00DF1465" w:rsidRPr="00FF4A6E">
        <w:rPr>
          <w:color w:val="auto"/>
          <w:sz w:val="24"/>
          <w:szCs w:val="24"/>
        </w:rPr>
        <w:t xml:space="preserve"> haben.</w:t>
      </w:r>
    </w:p>
    <w:p w:rsidR="006C0C21" w:rsidRPr="006C0C21" w:rsidRDefault="00F71D62" w:rsidP="006C0C21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sz w:val="24"/>
          <w:szCs w:val="24"/>
        </w:rPr>
      </w:pPr>
      <w:r w:rsidRPr="00FF4A6E">
        <w:rPr>
          <w:color w:val="auto"/>
          <w:sz w:val="24"/>
          <w:szCs w:val="24"/>
        </w:rPr>
        <w:t>Die Zahl von Nutzer</w:t>
      </w:r>
      <w:r w:rsidR="007C7228" w:rsidRPr="00FF4A6E">
        <w:rPr>
          <w:color w:val="auto"/>
          <w:sz w:val="24"/>
          <w:szCs w:val="24"/>
        </w:rPr>
        <w:t>*</w:t>
      </w:r>
      <w:r w:rsidRPr="00FF4A6E">
        <w:rPr>
          <w:color w:val="auto"/>
          <w:sz w:val="24"/>
          <w:szCs w:val="24"/>
        </w:rPr>
        <w:t xml:space="preserve">innen, die sich zugleich in der Bibliothek befinden, </w:t>
      </w:r>
      <w:r w:rsidR="00C611A3" w:rsidRPr="00FF4A6E">
        <w:rPr>
          <w:color w:val="auto"/>
          <w:sz w:val="24"/>
          <w:szCs w:val="24"/>
        </w:rPr>
        <w:t>wird möglichst gering gehalten</w:t>
      </w:r>
      <w:r w:rsidR="00860EBC" w:rsidRPr="00FF4A6E">
        <w:rPr>
          <w:color w:val="auto"/>
          <w:sz w:val="24"/>
          <w:szCs w:val="24"/>
        </w:rPr>
        <w:t xml:space="preserve">. </w:t>
      </w:r>
      <w:r w:rsidRPr="00FF4A6E">
        <w:rPr>
          <w:color w:val="auto"/>
          <w:sz w:val="24"/>
          <w:szCs w:val="24"/>
        </w:rPr>
        <w:t>Dies kann z.B. durch die Ausweitung der Öffnungszeiten oder durch anlassbezogenen Vortritt für bestimmte Nutzergruppen (wie z.B. Lehrende in der Vorbereitungsphase für das Semester) er</w:t>
      </w:r>
      <w:r w:rsidR="006C0C21">
        <w:rPr>
          <w:color w:val="auto"/>
          <w:sz w:val="24"/>
          <w:szCs w:val="24"/>
        </w:rPr>
        <w:t>reicht werden.</w:t>
      </w:r>
    </w:p>
    <w:p w:rsidR="006C0C21" w:rsidRPr="006C0C21" w:rsidRDefault="006C0C21" w:rsidP="006C0C21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Die</w:t>
      </w:r>
      <w:r w:rsidR="00380BF2">
        <w:rPr>
          <w:color w:val="auto"/>
          <w:sz w:val="24"/>
          <w:szCs w:val="24"/>
        </w:rPr>
        <w:t xml:space="preserve"> Anzahl</w:t>
      </w:r>
      <w:r>
        <w:rPr>
          <w:color w:val="auto"/>
          <w:sz w:val="24"/>
          <w:szCs w:val="24"/>
        </w:rPr>
        <w:t xml:space="preserve"> zur Verfügung stehenden studentischen Arbeitsplätze und die mögliche Besucherzahl in den Bibliotheken sind individuell entsprechend der Gesamtbedingungen (Raumgröße, Zugang zu den Räumlichkeiten, Lüftungsmöglichkeiten, Toiletten, </w:t>
      </w:r>
      <w:r w:rsidR="00380BF2">
        <w:rPr>
          <w:color w:val="auto"/>
          <w:sz w:val="24"/>
          <w:szCs w:val="24"/>
        </w:rPr>
        <w:t>notwendiges Personal, usw.) festzulegen. Die Stabsstelle Arbeits- und Umweltschutz unterstützt Sie gerne dabei.</w:t>
      </w:r>
    </w:p>
    <w:p w:rsidR="00876D60" w:rsidRPr="00876D60" w:rsidRDefault="00F71D62" w:rsidP="006C0C21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sz w:val="24"/>
          <w:szCs w:val="24"/>
        </w:rPr>
      </w:pPr>
      <w:r w:rsidRPr="00FF4A6E">
        <w:rPr>
          <w:color w:val="auto"/>
          <w:sz w:val="24"/>
          <w:szCs w:val="24"/>
        </w:rPr>
        <w:t>Eine Anmeldung (im Rahmen der definierten Öffnungszeiten</w:t>
      </w:r>
      <w:r w:rsidR="00380BF2">
        <w:rPr>
          <w:color w:val="auto"/>
          <w:sz w:val="24"/>
          <w:szCs w:val="24"/>
        </w:rPr>
        <w:t>) ist erforderlich</w:t>
      </w:r>
      <w:r w:rsidRPr="00FF4A6E">
        <w:rPr>
          <w:color w:val="auto"/>
          <w:sz w:val="24"/>
          <w:szCs w:val="24"/>
        </w:rPr>
        <w:t xml:space="preserve">. </w:t>
      </w:r>
      <w:r w:rsidR="00380BF2">
        <w:rPr>
          <w:color w:val="auto"/>
          <w:sz w:val="24"/>
          <w:szCs w:val="24"/>
        </w:rPr>
        <w:t>Weiterhin</w:t>
      </w:r>
      <w:r w:rsidR="00DC3595" w:rsidRPr="00FF4A6E">
        <w:rPr>
          <w:color w:val="auto"/>
          <w:sz w:val="24"/>
          <w:szCs w:val="24"/>
        </w:rPr>
        <w:t xml:space="preserve"> müssen Kontaktdaten sowie der Zeitpunkt des Betretens und des Verlassens der Bibliothek dokumentiert werden. </w:t>
      </w:r>
      <w:r w:rsidRPr="00FF4A6E">
        <w:rPr>
          <w:color w:val="auto"/>
          <w:sz w:val="24"/>
          <w:szCs w:val="24"/>
        </w:rPr>
        <w:t>Dadurch ist im Fall einer Erkrankung eines Nutzers einfach zurückzuverfolgen wer sich zusammen in d</w:t>
      </w:r>
      <w:r w:rsidR="00876D60">
        <w:rPr>
          <w:color w:val="auto"/>
          <w:sz w:val="24"/>
          <w:szCs w:val="24"/>
        </w:rPr>
        <w:t>er Bibliothek aufgehalten hat.</w:t>
      </w:r>
    </w:p>
    <w:p w:rsidR="00876D60" w:rsidRPr="00876D60" w:rsidRDefault="00876D60" w:rsidP="006C0C21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sz w:val="24"/>
          <w:szCs w:val="24"/>
        </w:rPr>
      </w:pPr>
      <w:r w:rsidRPr="00876D60">
        <w:rPr>
          <w:color w:val="auto"/>
          <w:sz w:val="24"/>
          <w:szCs w:val="24"/>
        </w:rPr>
        <w:t>Das Erfordernis der Kontaktnachverfolgung entfällt bei der bloßen Abholung und Auslieferung bestellter oder automatisiert abholbarer Medien sowie deren Rückgabe</w:t>
      </w:r>
      <w:r>
        <w:rPr>
          <w:color w:val="auto"/>
          <w:sz w:val="24"/>
          <w:szCs w:val="24"/>
        </w:rPr>
        <w:t>.</w:t>
      </w:r>
    </w:p>
    <w:p w:rsidR="00E151C2" w:rsidRPr="00DC3595" w:rsidRDefault="00F71D62" w:rsidP="006C0C21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sz w:val="24"/>
          <w:szCs w:val="24"/>
        </w:rPr>
      </w:pPr>
      <w:r w:rsidRPr="00FF4A6E">
        <w:rPr>
          <w:color w:val="auto"/>
          <w:sz w:val="24"/>
          <w:szCs w:val="24"/>
        </w:rPr>
        <w:lastRenderedPageBreak/>
        <w:t>Der Aufenthalt von Nutzer</w:t>
      </w:r>
      <w:r w:rsidR="007C7228" w:rsidRPr="00FF4A6E">
        <w:rPr>
          <w:color w:val="auto"/>
          <w:sz w:val="24"/>
          <w:szCs w:val="24"/>
        </w:rPr>
        <w:t>*</w:t>
      </w:r>
      <w:r w:rsidRPr="00FF4A6E">
        <w:rPr>
          <w:color w:val="auto"/>
          <w:sz w:val="24"/>
          <w:szCs w:val="24"/>
        </w:rPr>
        <w:t xml:space="preserve">innen in der Bibliothek kann beschränkt werden, um möglichst vielen eine Nutzung der Bibliothek zu ermöglichen. </w:t>
      </w:r>
      <w:r w:rsidR="00380BF2">
        <w:rPr>
          <w:color w:val="auto"/>
          <w:sz w:val="24"/>
          <w:szCs w:val="24"/>
        </w:rPr>
        <w:t>In kleinen Räumen (&lt; 20m²)</w:t>
      </w:r>
      <w:r w:rsidRPr="00FF4A6E">
        <w:rPr>
          <w:color w:val="auto"/>
          <w:sz w:val="24"/>
          <w:szCs w:val="24"/>
        </w:rPr>
        <w:t xml:space="preserve"> hält sich maximal eine Person zugleich auf. </w:t>
      </w:r>
      <w:r w:rsidR="00380BF2">
        <w:rPr>
          <w:color w:val="auto"/>
          <w:sz w:val="24"/>
          <w:szCs w:val="24"/>
        </w:rPr>
        <w:t>Wenn für</w:t>
      </w:r>
      <w:r w:rsidRPr="00FF4A6E">
        <w:rPr>
          <w:color w:val="auto"/>
          <w:sz w:val="24"/>
          <w:szCs w:val="24"/>
        </w:rPr>
        <w:t xml:space="preserve"> große Räume der Bibliothek (z.B. Lesesäle) mehr als eine Person zugleich zugelassen werden </w:t>
      </w:r>
      <w:r w:rsidRPr="00DC3595">
        <w:rPr>
          <w:sz w:val="24"/>
          <w:szCs w:val="24"/>
        </w:rPr>
        <w:t xml:space="preserve">sollen, ist eine vorherige Bewertung durch die Stabsstelle Arbeits- und Umweltschutz unerlässlich. </w:t>
      </w:r>
    </w:p>
    <w:p w:rsidR="00E151C2" w:rsidRPr="0067347E" w:rsidRDefault="00F71D62" w:rsidP="00555C8B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sz w:val="24"/>
          <w:szCs w:val="24"/>
        </w:rPr>
      </w:pPr>
      <w:r w:rsidRPr="0067347E">
        <w:rPr>
          <w:sz w:val="24"/>
          <w:szCs w:val="24"/>
        </w:rPr>
        <w:t>Falls eine Empfangstheke vorhanden ist, wird diese durch eine Plexiglaswand von vorne und ggf. auch seitlich abgetrennt. Plexiglaswände</w:t>
      </w:r>
      <w:r w:rsidR="003645AB">
        <w:rPr>
          <w:sz w:val="24"/>
          <w:szCs w:val="24"/>
        </w:rPr>
        <w:t xml:space="preserve"> oder andere Trennvorrichtungen</w:t>
      </w:r>
      <w:r w:rsidRPr="0067347E">
        <w:rPr>
          <w:sz w:val="24"/>
          <w:szCs w:val="24"/>
        </w:rPr>
        <w:t xml:space="preserve"> können bei den Werkstätten der Universität, mit koordinierender Unterstützung der Stabsstelle Arbeits- und Umweltschutz, oder bei externen Anbietern bestellt werden.</w:t>
      </w:r>
    </w:p>
    <w:p w:rsidR="00E151C2" w:rsidRPr="0067347E" w:rsidRDefault="00F71D62" w:rsidP="00555C8B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sz w:val="24"/>
          <w:szCs w:val="24"/>
        </w:rPr>
      </w:pPr>
      <w:r w:rsidRPr="0067347E">
        <w:rPr>
          <w:sz w:val="24"/>
          <w:szCs w:val="24"/>
        </w:rPr>
        <w:t>PCs für Nutzerinnen und Nutzer können entweder gesperrt werden oder die Tastaturen werden in regelmäßigen Zeitabständen gereinigt. Es kann auch den Nutzer</w:t>
      </w:r>
      <w:r w:rsidR="007C7228">
        <w:rPr>
          <w:sz w:val="24"/>
          <w:szCs w:val="24"/>
        </w:rPr>
        <w:t>*</w:t>
      </w:r>
      <w:r w:rsidRPr="0067347E">
        <w:rPr>
          <w:sz w:val="24"/>
          <w:szCs w:val="24"/>
        </w:rPr>
        <w:t>innen auferlegt werden, diese vor Gebrauch selbst zu reinigen. Reinigungsmaterial wird ihnen dann zur Verfügung gestellt.</w:t>
      </w:r>
      <w:r w:rsidR="0067347E">
        <w:rPr>
          <w:sz w:val="24"/>
          <w:szCs w:val="24"/>
        </w:rPr>
        <w:t xml:space="preserve"> Alternativ ist eine Ab</w:t>
      </w:r>
      <w:r w:rsidR="00570C93">
        <w:rPr>
          <w:sz w:val="24"/>
          <w:szCs w:val="24"/>
        </w:rPr>
        <w:t>deckung mit z. B. Frischhaltefolie für jeden Nutzer möglich. Der Nutzer entfernt seine gebrauchte Frischhaltefolie nach Gebrauch.</w:t>
      </w:r>
    </w:p>
    <w:p w:rsidR="00786432" w:rsidRPr="00FF4A6E" w:rsidRDefault="00F71D62" w:rsidP="00555C8B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color w:val="auto"/>
          <w:sz w:val="24"/>
          <w:szCs w:val="24"/>
        </w:rPr>
      </w:pPr>
      <w:r w:rsidRPr="00FF4A6E">
        <w:rPr>
          <w:color w:val="auto"/>
          <w:sz w:val="24"/>
          <w:szCs w:val="24"/>
        </w:rPr>
        <w:t xml:space="preserve">Es </w:t>
      </w:r>
      <w:r w:rsidR="00786432" w:rsidRPr="00FF4A6E">
        <w:rPr>
          <w:color w:val="auto"/>
          <w:sz w:val="24"/>
          <w:szCs w:val="24"/>
        </w:rPr>
        <w:t xml:space="preserve">ist </w:t>
      </w:r>
      <w:r w:rsidRPr="00FF4A6E">
        <w:rPr>
          <w:color w:val="auto"/>
          <w:sz w:val="24"/>
          <w:szCs w:val="24"/>
        </w:rPr>
        <w:t xml:space="preserve">für die regelmäßige Belüftung </w:t>
      </w:r>
      <w:r w:rsidR="00380BF2">
        <w:rPr>
          <w:color w:val="auto"/>
          <w:sz w:val="24"/>
          <w:szCs w:val="24"/>
        </w:rPr>
        <w:t xml:space="preserve">(ca. alle 60 Minuten) </w:t>
      </w:r>
      <w:r w:rsidRPr="00FF4A6E">
        <w:rPr>
          <w:color w:val="auto"/>
          <w:sz w:val="24"/>
          <w:szCs w:val="24"/>
        </w:rPr>
        <w:t xml:space="preserve">der Bibliotheksräume </w:t>
      </w:r>
      <w:r w:rsidR="00786432" w:rsidRPr="00FF4A6E">
        <w:rPr>
          <w:color w:val="auto"/>
          <w:sz w:val="24"/>
          <w:szCs w:val="24"/>
        </w:rPr>
        <w:t>zu sorgen.</w:t>
      </w:r>
    </w:p>
    <w:p w:rsidR="00E151C2" w:rsidRDefault="00F71D62" w:rsidP="00555C8B">
      <w:pPr>
        <w:pStyle w:val="Listenabsatz"/>
        <w:numPr>
          <w:ilvl w:val="0"/>
          <w:numId w:val="6"/>
        </w:numPr>
        <w:spacing w:after="120"/>
        <w:ind w:left="567" w:right="1269" w:hanging="283"/>
        <w:jc w:val="both"/>
        <w:rPr>
          <w:sz w:val="24"/>
          <w:szCs w:val="24"/>
        </w:rPr>
      </w:pPr>
      <w:r w:rsidRPr="0067347E">
        <w:rPr>
          <w:sz w:val="24"/>
          <w:szCs w:val="24"/>
        </w:rPr>
        <w:t>Die genannten Regeln werden auf allen möglichen Kanälen (Aushänge, Internet, mündliche Kommunikation) kontinuierlich und eindringlich kommuniziert</w:t>
      </w:r>
      <w:r w:rsidR="007C7228">
        <w:rPr>
          <w:sz w:val="24"/>
          <w:szCs w:val="24"/>
        </w:rPr>
        <w:t xml:space="preserve">. Die </w:t>
      </w:r>
      <w:r w:rsidR="00570C93">
        <w:rPr>
          <w:sz w:val="24"/>
          <w:szCs w:val="24"/>
        </w:rPr>
        <w:t>Mitarbeiter</w:t>
      </w:r>
      <w:r w:rsidR="007C7228">
        <w:rPr>
          <w:sz w:val="24"/>
          <w:szCs w:val="24"/>
        </w:rPr>
        <w:t>*innen</w:t>
      </w:r>
      <w:r w:rsidR="00570C93">
        <w:rPr>
          <w:sz w:val="24"/>
          <w:szCs w:val="24"/>
        </w:rPr>
        <w:t xml:space="preserve"> </w:t>
      </w:r>
      <w:r w:rsidR="007C7228">
        <w:rPr>
          <w:sz w:val="24"/>
          <w:szCs w:val="24"/>
        </w:rPr>
        <w:t xml:space="preserve">werden </w:t>
      </w:r>
      <w:r w:rsidR="00570C93">
        <w:rPr>
          <w:sz w:val="24"/>
          <w:szCs w:val="24"/>
        </w:rPr>
        <w:t>mit Nachweis unterwiesen.</w:t>
      </w:r>
    </w:p>
    <w:p w:rsidR="000F2E7B" w:rsidRPr="0067347E" w:rsidRDefault="000F2E7B" w:rsidP="00BA309A">
      <w:pPr>
        <w:pStyle w:val="Listenabsatz"/>
        <w:spacing w:after="120"/>
        <w:ind w:left="567" w:right="1269"/>
        <w:jc w:val="both"/>
        <w:rPr>
          <w:sz w:val="24"/>
          <w:szCs w:val="24"/>
        </w:rPr>
      </w:pPr>
    </w:p>
    <w:sectPr w:rsidR="000F2E7B" w:rsidRPr="00673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61" w:rsidRDefault="00DF2361">
      <w:pPr>
        <w:spacing w:after="0" w:line="240" w:lineRule="auto"/>
      </w:pPr>
      <w:r>
        <w:separator/>
      </w:r>
    </w:p>
  </w:endnote>
  <w:endnote w:type="continuationSeparator" w:id="0">
    <w:p w:rsidR="00DF2361" w:rsidRDefault="00DF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CA" w:rsidRDefault="008308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CA" w:rsidRDefault="008308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CA" w:rsidRDefault="008308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61" w:rsidRDefault="00DF2361">
      <w:r>
        <w:separator/>
      </w:r>
    </w:p>
  </w:footnote>
  <w:footnote w:type="continuationSeparator" w:id="0">
    <w:p w:rsidR="00DF2361" w:rsidRDefault="00DF2361">
      <w:r>
        <w:continuationSeparator/>
      </w:r>
    </w:p>
  </w:footnote>
  <w:footnote w:type="continuationNotice" w:id="1">
    <w:p w:rsidR="00DF2361" w:rsidRDefault="00DF2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CA" w:rsidRDefault="008308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C21" w:rsidRDefault="006C0C21" w:rsidP="009967D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69" w:lineRule="exact"/>
      <w:ind w:left="20"/>
      <w:rPr>
        <w:rFonts w:ascii="Exo 2" w:eastAsia="Exo 2" w:hAnsi="Exo 2" w:cs="Exo 2"/>
        <w:b/>
        <w:bCs/>
        <w:color w:val="auto"/>
        <w:spacing w:val="-1"/>
        <w:sz w:val="26"/>
        <w:szCs w:val="26"/>
        <w:bdr w:val="none" w:sz="0" w:space="0" w:color="auto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5A821C" wp14:editId="293E3C32">
          <wp:simplePos x="0" y="0"/>
          <wp:positionH relativeFrom="page">
            <wp:posOffset>5387975</wp:posOffset>
          </wp:positionH>
          <wp:positionV relativeFrom="page">
            <wp:posOffset>589280</wp:posOffset>
          </wp:positionV>
          <wp:extent cx="749300" cy="3429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C21" w:rsidRDefault="006C0C21" w:rsidP="009967D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69" w:lineRule="exact"/>
      <w:ind w:left="20"/>
      <w:rPr>
        <w:rFonts w:ascii="Exo 2" w:eastAsia="Exo 2" w:hAnsi="Exo 2" w:cs="Exo 2"/>
        <w:b/>
        <w:bCs/>
        <w:color w:val="auto"/>
        <w:spacing w:val="-1"/>
        <w:sz w:val="26"/>
        <w:szCs w:val="26"/>
        <w:bdr w:val="none" w:sz="0" w:space="0" w:color="auto"/>
        <w:lang w:eastAsia="en-US"/>
      </w:rPr>
    </w:pPr>
    <w:r w:rsidRPr="00C93743">
      <w:rPr>
        <w:rFonts w:cs="Times New Roman"/>
        <w:noProof/>
        <w:color w:val="auto"/>
        <w:bdr w:val="none" w:sz="0" w:space="0" w:color="aut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B4628D" wp14:editId="5A358ACC">
              <wp:simplePos x="0" y="0"/>
              <wp:positionH relativeFrom="page">
                <wp:posOffset>6878955</wp:posOffset>
              </wp:positionH>
              <wp:positionV relativeFrom="page">
                <wp:posOffset>533400</wp:posOffset>
              </wp:positionV>
              <wp:extent cx="128270" cy="177800"/>
              <wp:effectExtent l="1905" t="0" r="317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C21" w:rsidRDefault="006C0C21" w:rsidP="00C93743">
                          <w:pPr>
                            <w:pStyle w:val="Textkrper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7470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462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1.65pt;margin-top:42pt;width:10.1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s3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" filled="f" stroked="f">
              <v:textbox inset="0,0,0,0">
                <w:txbxContent>
                  <w:p w:rsidR="006C0C21" w:rsidRDefault="006C0C21" w:rsidP="00C93743">
                    <w:pPr>
                      <w:pStyle w:val="Textkrper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7470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93743">
      <w:rPr>
        <w:rFonts w:cs="Times New Roman"/>
        <w:noProof/>
        <w:color w:val="auto"/>
        <w:bdr w:val="none" w:sz="0" w:space="0" w:color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5F4AD20" wp14:editId="06A27314">
              <wp:simplePos x="0" y="0"/>
              <wp:positionH relativeFrom="page">
                <wp:posOffset>6812915</wp:posOffset>
              </wp:positionH>
              <wp:positionV relativeFrom="page">
                <wp:posOffset>515620</wp:posOffset>
              </wp:positionV>
              <wp:extent cx="900430" cy="186055"/>
              <wp:effectExtent l="2540" t="1270" r="1905" b="317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0430" cy="186055"/>
                        <a:chOff x="10489" y="572"/>
                        <a:chExt cx="1418" cy="293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0489" y="572"/>
                          <a:ext cx="1418" cy="293"/>
                        </a:xfrm>
                        <a:custGeom>
                          <a:avLst/>
                          <a:gdLst>
                            <a:gd name="T0" fmla="+- 0 10489 10489"/>
                            <a:gd name="T1" fmla="*/ T0 w 1418"/>
                            <a:gd name="T2" fmla="+- 0 865 572"/>
                            <a:gd name="T3" fmla="*/ 865 h 293"/>
                            <a:gd name="T4" fmla="+- 0 11906 10489"/>
                            <a:gd name="T5" fmla="*/ T4 w 1418"/>
                            <a:gd name="T6" fmla="+- 0 865 572"/>
                            <a:gd name="T7" fmla="*/ 865 h 293"/>
                            <a:gd name="T8" fmla="+- 0 11906 10489"/>
                            <a:gd name="T9" fmla="*/ T8 w 1418"/>
                            <a:gd name="T10" fmla="+- 0 572 572"/>
                            <a:gd name="T11" fmla="*/ 572 h 293"/>
                            <a:gd name="T12" fmla="+- 0 10489 10489"/>
                            <a:gd name="T13" fmla="*/ T12 w 1418"/>
                            <a:gd name="T14" fmla="+- 0 572 572"/>
                            <a:gd name="T15" fmla="*/ 572 h 293"/>
                            <a:gd name="T16" fmla="+- 0 10489 10489"/>
                            <a:gd name="T17" fmla="*/ T16 w 1418"/>
                            <a:gd name="T18" fmla="+- 0 865 572"/>
                            <a:gd name="T19" fmla="*/ 865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18" h="293">
                              <a:moveTo>
                                <a:pt x="0" y="293"/>
                              </a:moveTo>
                              <a:lnTo>
                                <a:pt x="1417" y="293"/>
                              </a:lnTo>
                              <a:lnTo>
                                <a:pt x="1417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8158F" id="Group 4" o:spid="_x0000_s1026" style="position:absolute;margin-left:536.45pt;margin-top:40.6pt;width:70.9pt;height:14.65pt;z-index:-251655168;mso-position-horizontal-relative:page;mso-position-vertical-relative:page" coordorigin="10489,572" coordsize="141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">
              <v:shape id="Freeform 5" o:spid="_x0000_s1027" style="position:absolute;left:10489;top:572;width:1418;height:293;visibility:visible;mso-wrap-style:square;v-text-anchor:top" coordsize="141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" path="m,293r1417,l1417,,,,,293e" fillcolor="#4f81bd" stroked="f">
                <v:path arrowok="t" o:connecttype="custom" o:connectlocs="0,865;1417,865;1417,572;0,572;0,865" o:connectangles="0,0,0,0,0"/>
              </v:shape>
              <w10:wrap anchorx="page" anchory="page"/>
            </v:group>
          </w:pict>
        </mc:Fallback>
      </mc:AlternateContent>
    </w:r>
  </w:p>
  <w:p w:rsidR="006C0C21" w:rsidRDefault="006C0C21" w:rsidP="009967D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69" w:lineRule="exact"/>
      <w:ind w:left="20"/>
      <w:rPr>
        <w:rFonts w:ascii="Exo 2" w:eastAsia="Exo 2" w:hAnsi="Exo 2" w:cs="Exo 2"/>
        <w:b/>
        <w:bCs/>
        <w:color w:val="auto"/>
        <w:spacing w:val="-1"/>
        <w:sz w:val="26"/>
        <w:szCs w:val="26"/>
        <w:bdr w:val="none" w:sz="0" w:space="0" w:color="auto"/>
        <w:lang w:eastAsia="en-US"/>
      </w:rPr>
    </w:pPr>
  </w:p>
  <w:p w:rsidR="006C0C21" w:rsidRDefault="006C0C21" w:rsidP="0067347E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69" w:lineRule="exact"/>
      <w:ind w:left="20" w:right="1836"/>
      <w:rPr>
        <w:rFonts w:ascii="Exo 2" w:eastAsia="Exo 2" w:hAnsi="Exo 2" w:cs="Exo 2"/>
        <w:b/>
        <w:bCs/>
        <w:color w:val="auto"/>
        <w:spacing w:val="-1"/>
        <w:sz w:val="26"/>
        <w:szCs w:val="26"/>
        <w:bdr w:val="none" w:sz="0" w:space="0" w:color="auto"/>
        <w:lang w:eastAsia="en-US"/>
      </w:rPr>
    </w:pPr>
    <w:bookmarkStart w:id="0" w:name="_GoBack"/>
    <w:r w:rsidRPr="00C93743">
      <w:rPr>
        <w:rFonts w:ascii="Exo 2" w:eastAsia="Exo 2" w:hAnsi="Exo 2" w:cs="Exo 2"/>
        <w:b/>
        <w:bCs/>
        <w:color w:val="auto"/>
        <w:spacing w:val="-1"/>
        <w:sz w:val="26"/>
        <w:szCs w:val="26"/>
        <w:bdr w:val="none" w:sz="0" w:space="0" w:color="auto"/>
        <w:lang w:eastAsia="en-US"/>
      </w:rPr>
      <w:t>Hygiene- und Infektionsschutz</w:t>
    </w:r>
    <w:r>
      <w:rPr>
        <w:rFonts w:ascii="Exo 2" w:eastAsia="Exo 2" w:hAnsi="Exo 2" w:cs="Exo 2"/>
        <w:b/>
        <w:bCs/>
        <w:color w:val="auto"/>
        <w:spacing w:val="-1"/>
        <w:sz w:val="26"/>
        <w:szCs w:val="26"/>
        <w:bdr w:val="none" w:sz="0" w:space="0" w:color="auto"/>
        <w:lang w:eastAsia="en-US"/>
      </w:rPr>
      <w:t>richtlinien zum „</w:t>
    </w:r>
    <w:r w:rsidRPr="00C93743">
      <w:rPr>
        <w:rFonts w:ascii="Exo 2" w:eastAsia="Exo 2" w:hAnsi="Exo 2" w:cs="Exo 2"/>
        <w:b/>
        <w:bCs/>
        <w:color w:val="auto"/>
        <w:spacing w:val="-1"/>
        <w:sz w:val="26"/>
        <w:szCs w:val="26"/>
        <w:bdr w:val="none" w:sz="0" w:space="0" w:color="auto"/>
        <w:lang w:eastAsia="en-US"/>
      </w:rPr>
      <w:t>Betrieb</w:t>
    </w:r>
    <w:r>
      <w:rPr>
        <w:rFonts w:ascii="Exo 2" w:eastAsia="Exo 2" w:hAnsi="Exo 2" w:cs="Exo 2"/>
        <w:b/>
        <w:bCs/>
        <w:color w:val="auto"/>
        <w:spacing w:val="-1"/>
        <w:sz w:val="26"/>
        <w:szCs w:val="26"/>
        <w:bdr w:val="none" w:sz="0" w:space="0" w:color="auto"/>
        <w:lang w:eastAsia="en-US"/>
      </w:rPr>
      <w:t xml:space="preserve"> von Institutsbibliotheken“ </w:t>
    </w:r>
  </w:p>
  <w:bookmarkEnd w:id="0"/>
  <w:p w:rsidR="006C0C21" w:rsidRPr="009967DD" w:rsidRDefault="006C0C21" w:rsidP="00C93743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69" w:lineRule="exact"/>
      <w:ind w:left="20"/>
      <w:rPr>
        <w:rFonts w:ascii="Exo 2" w:eastAsia="Exo 2" w:hAnsi="Exo 2" w:cs="Exo 2"/>
        <w:b/>
        <w:bCs/>
        <w:color w:val="auto"/>
        <w:spacing w:val="-1"/>
        <w:sz w:val="26"/>
        <w:szCs w:val="26"/>
        <w:bdr w:val="none" w:sz="0" w:space="0" w:color="auto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CA" w:rsidRDefault="008308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AD3"/>
    <w:multiLevelType w:val="hybridMultilevel"/>
    <w:tmpl w:val="A6C0B5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6CDB74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CCF64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90D4CA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460D78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E8366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90C458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E89734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406C6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7B1A61"/>
    <w:multiLevelType w:val="hybridMultilevel"/>
    <w:tmpl w:val="A14C4846"/>
    <w:numStyleLink w:val="ImportierterStil2"/>
  </w:abstractNum>
  <w:abstractNum w:abstractNumId="2" w15:restartNumberingAfterBreak="0">
    <w:nsid w:val="2BC02E1F"/>
    <w:multiLevelType w:val="hybridMultilevel"/>
    <w:tmpl w:val="24A05774"/>
    <w:lvl w:ilvl="0" w:tplc="04070005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F0537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6CC0A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D435C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12D61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768020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54FF2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F4413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4E8AB2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7126ECF"/>
    <w:multiLevelType w:val="hybridMultilevel"/>
    <w:tmpl w:val="A118A910"/>
    <w:numStyleLink w:val="ImportierterStil1"/>
  </w:abstractNum>
  <w:abstractNum w:abstractNumId="4" w15:restartNumberingAfterBreak="0">
    <w:nsid w:val="6C4432D2"/>
    <w:multiLevelType w:val="hybridMultilevel"/>
    <w:tmpl w:val="A14C4846"/>
    <w:styleLink w:val="ImportierterStil2"/>
    <w:lvl w:ilvl="0" w:tplc="FA72836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1ABD6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863F4A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CAC55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2CF7E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5A5690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90691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B287C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809E8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C9370D8"/>
    <w:multiLevelType w:val="hybridMultilevel"/>
    <w:tmpl w:val="A118A910"/>
    <w:styleLink w:val="ImportierterStil1"/>
    <w:lvl w:ilvl="0" w:tplc="7B609CA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E9F60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24FBA6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EC872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A71E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0EB70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46AE5A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C71DC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FEEE72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C2"/>
    <w:rsid w:val="000A1D69"/>
    <w:rsid w:val="000F2E7B"/>
    <w:rsid w:val="00342090"/>
    <w:rsid w:val="003645AB"/>
    <w:rsid w:val="00380BF2"/>
    <w:rsid w:val="00555C8B"/>
    <w:rsid w:val="00570C93"/>
    <w:rsid w:val="00602573"/>
    <w:rsid w:val="0067347E"/>
    <w:rsid w:val="00677876"/>
    <w:rsid w:val="006C0C21"/>
    <w:rsid w:val="00717DCA"/>
    <w:rsid w:val="00722577"/>
    <w:rsid w:val="007632B7"/>
    <w:rsid w:val="00786432"/>
    <w:rsid w:val="007B002F"/>
    <w:rsid w:val="007C1E27"/>
    <w:rsid w:val="007C7228"/>
    <w:rsid w:val="008308CA"/>
    <w:rsid w:val="00860EBC"/>
    <w:rsid w:val="00876D60"/>
    <w:rsid w:val="009967DD"/>
    <w:rsid w:val="009F6C97"/>
    <w:rsid w:val="00A17470"/>
    <w:rsid w:val="00B747A1"/>
    <w:rsid w:val="00B7615D"/>
    <w:rsid w:val="00B862F0"/>
    <w:rsid w:val="00BA309A"/>
    <w:rsid w:val="00C55FFD"/>
    <w:rsid w:val="00C611A3"/>
    <w:rsid w:val="00C852F2"/>
    <w:rsid w:val="00C93743"/>
    <w:rsid w:val="00CD4175"/>
    <w:rsid w:val="00D53D29"/>
    <w:rsid w:val="00D7693E"/>
    <w:rsid w:val="00DC3595"/>
    <w:rsid w:val="00DE67A1"/>
    <w:rsid w:val="00DF1465"/>
    <w:rsid w:val="00DF2361"/>
    <w:rsid w:val="00E151C2"/>
    <w:rsid w:val="00E9170F"/>
    <w:rsid w:val="00E92147"/>
    <w:rsid w:val="00F663DB"/>
    <w:rsid w:val="00F71D62"/>
    <w:rsid w:val="00FF4A6E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B1151-6147-4AE9-A298-F8D942A8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rschrift1">
    <w:name w:val="heading 1"/>
    <w:basedOn w:val="Standard"/>
    <w:link w:val="berschrift1Zchn"/>
    <w:uiPriority w:val="1"/>
    <w:qFormat/>
    <w:rsid w:val="009967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111"/>
      <w:outlineLvl w:val="0"/>
    </w:pPr>
    <w:rPr>
      <w:rFonts w:cstheme="minorBidi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notentext">
    <w:name w:val="footnote text"/>
    <w:rPr>
      <w:rFonts w:ascii="Calibri" w:eastAsia="Calibri" w:hAnsi="Calibri" w:cs="Calibri"/>
      <w:color w:val="000000"/>
      <w:u w:color="000000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9967DD"/>
    <w:rPr>
      <w:rFonts w:ascii="Calibri" w:eastAsia="Calibri" w:hAnsi="Calibri" w:cstheme="minorBidi"/>
      <w:b/>
      <w:bCs/>
      <w:sz w:val="24"/>
      <w:szCs w:val="24"/>
      <w:bdr w:val="none" w:sz="0" w:space="0" w:color="auto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99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7D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99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7D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7D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9374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9374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Cremer , Otto Peter</dc:creator>
  <cp:lastModifiedBy>Nils Sönksen</cp:lastModifiedBy>
  <cp:revision>2</cp:revision>
  <cp:lastPrinted>2020-05-12T08:18:00Z</cp:lastPrinted>
  <dcterms:created xsi:type="dcterms:W3CDTF">2021-03-22T11:47:00Z</dcterms:created>
  <dcterms:modified xsi:type="dcterms:W3CDTF">2021-03-22T11:47:00Z</dcterms:modified>
</cp:coreProperties>
</file>